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9D5" w14:textId="2929C4D6" w:rsidR="005E535D" w:rsidRDefault="00D33BEB" w:rsidP="00B32F88">
      <w:pPr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63120A9" wp14:editId="03C83A6E">
            <wp:simplePos x="0" y="0"/>
            <wp:positionH relativeFrom="column">
              <wp:posOffset>4846320</wp:posOffset>
            </wp:positionH>
            <wp:positionV relativeFrom="paragraph">
              <wp:posOffset>-457200</wp:posOffset>
            </wp:positionV>
            <wp:extent cx="1393825" cy="795244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S-WUTH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79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5A948" w14:textId="77777777" w:rsidR="00D33BEB" w:rsidRDefault="00D33BEB" w:rsidP="003018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BEE05" w14:textId="77777777" w:rsidR="00D33BEB" w:rsidRDefault="00D33BEB" w:rsidP="003018C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E535D" w14:paraId="7ECF5656" w14:textId="77777777" w:rsidTr="003018CF">
        <w:tc>
          <w:tcPr>
            <w:tcW w:w="9010" w:type="dxa"/>
            <w:shd w:val="clear" w:color="auto" w:fill="BFBFBF" w:themeFill="background1" w:themeFillShade="BF"/>
          </w:tcPr>
          <w:p w14:paraId="7C30FFB9" w14:textId="57A614F9" w:rsidR="003018CF" w:rsidRPr="003018CF" w:rsidRDefault="00CC3308" w:rsidP="00213D2F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Provider Licence Self-Certification 2020-21</w:t>
            </w:r>
          </w:p>
        </w:tc>
      </w:tr>
      <w:tr w:rsidR="005E535D" w14:paraId="1A08DBA0" w14:textId="77777777" w:rsidTr="003018CF">
        <w:tc>
          <w:tcPr>
            <w:tcW w:w="9010" w:type="dxa"/>
          </w:tcPr>
          <w:p w14:paraId="248EFC54" w14:textId="731C952E" w:rsidR="001152BB" w:rsidRPr="001152BB" w:rsidRDefault="00A76B6C" w:rsidP="001152BB">
            <w:pPr>
              <w:pStyle w:val="Default"/>
              <w:ind w:righ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Compliance with the licence is routinely monitored through the Single Oversight Framework</w:t>
            </w:r>
            <w:r w:rsidR="00D6288E">
              <w:rPr>
                <w:sz w:val="22"/>
                <w:szCs w:val="22"/>
              </w:rPr>
              <w:t xml:space="preserve">.  The </w:t>
            </w:r>
            <w:r>
              <w:rPr>
                <w:sz w:val="22"/>
                <w:szCs w:val="22"/>
              </w:rPr>
              <w:t>licence requires NHS providers to self</w:t>
            </w:r>
            <w:r w:rsidR="00DC212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certify under the specific conditions of the licence whether: </w:t>
            </w:r>
            <w:r w:rsidR="001152BB" w:rsidRPr="001152BB">
              <w:rPr>
                <w:sz w:val="22"/>
                <w:szCs w:val="22"/>
              </w:rPr>
              <w:t xml:space="preserve"> </w:t>
            </w:r>
          </w:p>
          <w:p w14:paraId="1C72E701" w14:textId="3FF3A2B4" w:rsidR="001152BB" w:rsidRPr="001152BB" w:rsidRDefault="001152BB" w:rsidP="001152BB">
            <w:pPr>
              <w:pStyle w:val="Default"/>
              <w:numPr>
                <w:ilvl w:val="0"/>
                <w:numId w:val="7"/>
              </w:numPr>
              <w:ind w:right="1"/>
              <w:jc w:val="both"/>
              <w:rPr>
                <w:sz w:val="22"/>
                <w:szCs w:val="22"/>
              </w:rPr>
            </w:pPr>
            <w:r w:rsidRPr="001152BB">
              <w:rPr>
                <w:sz w:val="22"/>
                <w:szCs w:val="22"/>
              </w:rPr>
              <w:t xml:space="preserve">the provider has taken all precautions necessary to comply with the licence, NHS Acts and NHS Constitution in accordance with </w:t>
            </w:r>
            <w:r w:rsidRPr="001152BB">
              <w:rPr>
                <w:b/>
                <w:sz w:val="22"/>
                <w:szCs w:val="22"/>
              </w:rPr>
              <w:t>General Condition 6(3)</w:t>
            </w:r>
            <w:r w:rsidRPr="001152BB">
              <w:rPr>
                <w:sz w:val="22"/>
                <w:szCs w:val="22"/>
              </w:rPr>
              <w:t xml:space="preserve"> and G6(4) of the NHS provider </w:t>
            </w:r>
            <w:r w:rsidR="00694E97" w:rsidRPr="001152BB">
              <w:rPr>
                <w:sz w:val="22"/>
                <w:szCs w:val="22"/>
              </w:rPr>
              <w:t>licence.</w:t>
            </w:r>
          </w:p>
          <w:p w14:paraId="7F14C596" w14:textId="21CB2496" w:rsidR="001152BB" w:rsidRPr="001152BB" w:rsidRDefault="001152BB" w:rsidP="001152BB">
            <w:pPr>
              <w:pStyle w:val="Default"/>
              <w:numPr>
                <w:ilvl w:val="0"/>
                <w:numId w:val="7"/>
              </w:numPr>
              <w:ind w:right="1"/>
              <w:jc w:val="both"/>
              <w:rPr>
                <w:sz w:val="22"/>
                <w:szCs w:val="22"/>
              </w:rPr>
            </w:pPr>
            <w:r w:rsidRPr="001152BB">
              <w:rPr>
                <w:sz w:val="22"/>
                <w:szCs w:val="22"/>
              </w:rPr>
              <w:t xml:space="preserve">the </w:t>
            </w:r>
            <w:r w:rsidR="00896A1A">
              <w:rPr>
                <w:sz w:val="22"/>
                <w:szCs w:val="22"/>
              </w:rPr>
              <w:t>p</w:t>
            </w:r>
            <w:r w:rsidRPr="001152BB">
              <w:rPr>
                <w:sz w:val="22"/>
                <w:szCs w:val="22"/>
              </w:rPr>
              <w:t xml:space="preserve">rovider has a reasonable expectation that required resources will be available to deliver designated Commissioner Requested Services in accordance with </w:t>
            </w:r>
            <w:r w:rsidRPr="001152BB">
              <w:rPr>
                <w:b/>
                <w:sz w:val="22"/>
                <w:szCs w:val="22"/>
              </w:rPr>
              <w:t xml:space="preserve">Continuity of Services condition 7(3).  </w:t>
            </w:r>
            <w:r w:rsidRPr="001152BB">
              <w:rPr>
                <w:sz w:val="22"/>
                <w:szCs w:val="22"/>
              </w:rPr>
              <w:t xml:space="preserve">This is required if the Trust has been specifically designated as providing commissioner requested services (CRS) and have been notified by their </w:t>
            </w:r>
            <w:r w:rsidR="00694E97" w:rsidRPr="001152BB">
              <w:rPr>
                <w:sz w:val="22"/>
                <w:szCs w:val="22"/>
              </w:rPr>
              <w:t>commissioner.</w:t>
            </w:r>
            <w:r w:rsidRPr="001152BB">
              <w:rPr>
                <w:sz w:val="22"/>
                <w:szCs w:val="22"/>
              </w:rPr>
              <w:t xml:space="preserve"> </w:t>
            </w:r>
          </w:p>
          <w:p w14:paraId="5AECFC7C" w14:textId="2780831B" w:rsidR="001152BB" w:rsidRDefault="001152BB" w:rsidP="001152BB">
            <w:pPr>
              <w:pStyle w:val="Default"/>
              <w:numPr>
                <w:ilvl w:val="0"/>
                <w:numId w:val="7"/>
              </w:numPr>
              <w:ind w:right="1"/>
              <w:jc w:val="both"/>
              <w:rPr>
                <w:sz w:val="22"/>
                <w:szCs w:val="22"/>
              </w:rPr>
            </w:pPr>
            <w:r w:rsidRPr="001152BB">
              <w:rPr>
                <w:sz w:val="22"/>
                <w:szCs w:val="22"/>
              </w:rPr>
              <w:t xml:space="preserve">the provider has complied with required governance arrangements Corporate governance statement – in accordance with </w:t>
            </w:r>
            <w:r w:rsidRPr="001152BB">
              <w:rPr>
                <w:b/>
                <w:sz w:val="22"/>
                <w:szCs w:val="22"/>
              </w:rPr>
              <w:t xml:space="preserve">condition FT4 (8) </w:t>
            </w:r>
            <w:r w:rsidRPr="001152BB">
              <w:rPr>
                <w:sz w:val="22"/>
                <w:szCs w:val="22"/>
              </w:rPr>
              <w:t xml:space="preserve"> of the NHS provider </w:t>
            </w:r>
            <w:r w:rsidR="00694E97" w:rsidRPr="001152BB">
              <w:rPr>
                <w:sz w:val="22"/>
                <w:szCs w:val="22"/>
              </w:rPr>
              <w:t>licence.</w:t>
            </w:r>
            <w:r w:rsidRPr="001152BB">
              <w:rPr>
                <w:sz w:val="22"/>
                <w:szCs w:val="22"/>
              </w:rPr>
              <w:t xml:space="preserve">  </w:t>
            </w:r>
          </w:p>
          <w:p w14:paraId="08CD58D9" w14:textId="48D62C43" w:rsidR="001152BB" w:rsidRDefault="001152BB" w:rsidP="001152BB">
            <w:pPr>
              <w:pStyle w:val="Default"/>
              <w:ind w:left="720" w:right="1"/>
              <w:jc w:val="both"/>
              <w:rPr>
                <w:sz w:val="22"/>
                <w:szCs w:val="22"/>
              </w:rPr>
            </w:pPr>
          </w:p>
          <w:p w14:paraId="0B51976D" w14:textId="2EE87C84" w:rsidR="001152BB" w:rsidRDefault="001152BB" w:rsidP="00E5327B">
            <w:pPr>
              <w:pStyle w:val="Default"/>
              <w:ind w:right="1"/>
              <w:jc w:val="both"/>
              <w:rPr>
                <w:sz w:val="22"/>
                <w:szCs w:val="22"/>
              </w:rPr>
            </w:pPr>
            <w:r w:rsidRPr="001152BB">
              <w:rPr>
                <w:sz w:val="22"/>
                <w:szCs w:val="22"/>
              </w:rPr>
              <w:t xml:space="preserve">Although not a licence condition, </w:t>
            </w:r>
            <w:r w:rsidR="00A76B6C">
              <w:rPr>
                <w:sz w:val="22"/>
                <w:szCs w:val="22"/>
              </w:rPr>
              <w:t>p</w:t>
            </w:r>
            <w:r w:rsidRPr="001152BB">
              <w:rPr>
                <w:sz w:val="22"/>
                <w:szCs w:val="22"/>
              </w:rPr>
              <w:t xml:space="preserve">roviders are expected to certify that it has provided the necessary training to its governors, as required </w:t>
            </w:r>
            <w:r w:rsidR="008871CF">
              <w:rPr>
                <w:sz w:val="22"/>
                <w:szCs w:val="22"/>
              </w:rPr>
              <w:t>by</w:t>
            </w:r>
            <w:r w:rsidRPr="001152BB">
              <w:rPr>
                <w:sz w:val="22"/>
                <w:szCs w:val="22"/>
              </w:rPr>
              <w:t xml:space="preserve"> s151(5) Health and Social Care Act</w:t>
            </w:r>
            <w:r w:rsidR="00674AD9">
              <w:rPr>
                <w:sz w:val="22"/>
                <w:szCs w:val="22"/>
              </w:rPr>
              <w:t xml:space="preserve"> 2012</w:t>
            </w:r>
            <w:r w:rsidRPr="001152BB">
              <w:rPr>
                <w:sz w:val="22"/>
                <w:szCs w:val="22"/>
              </w:rPr>
              <w:t>, to ensure they are equipped with the skills and knowledge they need to undertake their role.</w:t>
            </w:r>
          </w:p>
          <w:p w14:paraId="32354861" w14:textId="41267101" w:rsidR="001152BB" w:rsidRDefault="001152BB" w:rsidP="00213D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24408E" w14:textId="77777777" w:rsidR="00A76B6C" w:rsidRDefault="00A76B6C" w:rsidP="005E757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B6AC4B4" w14:textId="605C7752" w:rsidR="0011555E" w:rsidRPr="003018CF" w:rsidRDefault="0011555E" w:rsidP="00213D2F">
            <w:pPr>
              <w:jc w:val="both"/>
              <w:rPr>
                <w:rFonts w:ascii="Arial" w:hAnsi="Arial" w:cs="Arial"/>
              </w:rPr>
            </w:pPr>
          </w:p>
        </w:tc>
      </w:tr>
      <w:tr w:rsidR="005E535D" w14:paraId="49320CD5" w14:textId="77777777" w:rsidTr="003018CF">
        <w:tc>
          <w:tcPr>
            <w:tcW w:w="9010" w:type="dxa"/>
            <w:shd w:val="clear" w:color="auto" w:fill="BFBFBF" w:themeFill="background1" w:themeFillShade="BF"/>
          </w:tcPr>
          <w:p w14:paraId="60DE3F5F" w14:textId="138D8086" w:rsidR="005E535D" w:rsidRPr="005E535D" w:rsidRDefault="00CC3308" w:rsidP="005E53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Declarations</w:t>
            </w:r>
          </w:p>
        </w:tc>
      </w:tr>
      <w:tr w:rsidR="005E535D" w:rsidRPr="002E5396" w14:paraId="30C5D900" w14:textId="77777777" w:rsidTr="003018CF">
        <w:tc>
          <w:tcPr>
            <w:tcW w:w="9010" w:type="dxa"/>
          </w:tcPr>
          <w:p w14:paraId="202321BF" w14:textId="77777777" w:rsidR="005E535D" w:rsidRPr="002E5396" w:rsidRDefault="005E535D" w:rsidP="00896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000F75" w14:textId="3F98B9FC" w:rsidR="004B33E9" w:rsidRPr="002E5396" w:rsidRDefault="00674AD9" w:rsidP="00896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396">
              <w:rPr>
                <w:rFonts w:ascii="Arial" w:hAnsi="Arial" w:cs="Arial"/>
                <w:sz w:val="22"/>
                <w:szCs w:val="22"/>
              </w:rPr>
              <w:t xml:space="preserve">The annual </w:t>
            </w:r>
            <w:r w:rsidR="003F3B41" w:rsidRPr="002E5396">
              <w:rPr>
                <w:rFonts w:ascii="Arial" w:hAnsi="Arial" w:cs="Arial"/>
                <w:sz w:val="22"/>
                <w:szCs w:val="22"/>
              </w:rPr>
              <w:t>self-certifications</w:t>
            </w:r>
            <w:r w:rsidRPr="002E5396">
              <w:rPr>
                <w:rFonts w:ascii="Arial" w:hAnsi="Arial" w:cs="Arial"/>
                <w:sz w:val="22"/>
                <w:szCs w:val="22"/>
              </w:rPr>
              <w:t xml:space="preserve"> provide assurance in relation to compliance with the conditions of the NHS provider licence.  The Audit Committee</w:t>
            </w:r>
            <w:r w:rsidR="00115A2E">
              <w:rPr>
                <w:rFonts w:ascii="Arial" w:hAnsi="Arial" w:cs="Arial"/>
                <w:sz w:val="22"/>
                <w:szCs w:val="22"/>
              </w:rPr>
              <w:t xml:space="preserve"> has considered the evidence and confirmed as follows (with verbal update to </w:t>
            </w:r>
            <w:r w:rsidR="00A32A29">
              <w:rPr>
                <w:rFonts w:ascii="Arial" w:hAnsi="Arial" w:cs="Arial"/>
                <w:sz w:val="22"/>
                <w:szCs w:val="22"/>
              </w:rPr>
              <w:t xml:space="preserve">be provided with proposed changes) </w:t>
            </w:r>
            <w:r w:rsidR="004B33E9" w:rsidRPr="002E5396">
              <w:rPr>
                <w:rFonts w:ascii="Arial" w:hAnsi="Arial" w:cs="Arial"/>
                <w:sz w:val="22"/>
                <w:szCs w:val="22"/>
              </w:rPr>
              <w:t>that the Trust :</w:t>
            </w:r>
          </w:p>
          <w:p w14:paraId="6EBFE200" w14:textId="7E1291CE" w:rsidR="004B33E9" w:rsidRPr="002E5396" w:rsidRDefault="004B33E9" w:rsidP="00896A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396">
              <w:rPr>
                <w:rFonts w:ascii="Arial" w:hAnsi="Arial" w:cs="Arial"/>
                <w:sz w:val="22"/>
                <w:szCs w:val="22"/>
              </w:rPr>
              <w:t xml:space="preserve">Has not taken all precautions necessary to comply with the licence, NHS Act and NHS </w:t>
            </w:r>
            <w:r w:rsidR="003F3B41" w:rsidRPr="002E5396">
              <w:rPr>
                <w:rFonts w:ascii="Arial" w:hAnsi="Arial" w:cs="Arial"/>
                <w:sz w:val="22"/>
                <w:szCs w:val="22"/>
              </w:rPr>
              <w:t>Constitution</w:t>
            </w:r>
            <w:r w:rsidRPr="002E5396">
              <w:rPr>
                <w:rFonts w:ascii="Arial" w:hAnsi="Arial" w:cs="Arial"/>
                <w:sz w:val="22"/>
                <w:szCs w:val="22"/>
              </w:rPr>
              <w:t>, reflecting the enforcement undertakings in place.</w:t>
            </w:r>
            <w:r w:rsidR="002E5396" w:rsidRPr="002E5396">
              <w:rPr>
                <w:rFonts w:ascii="Arial" w:hAnsi="Arial" w:cs="Arial"/>
                <w:sz w:val="22"/>
                <w:szCs w:val="22"/>
              </w:rPr>
              <w:t xml:space="preserve">  Whilst the Board acknowledges progress has been made, further work is required to deliver sustainable performance improvements</w:t>
            </w:r>
            <w:r w:rsidR="00CC3308">
              <w:rPr>
                <w:rFonts w:ascii="Arial" w:hAnsi="Arial" w:cs="Arial"/>
                <w:sz w:val="22"/>
                <w:szCs w:val="22"/>
              </w:rPr>
              <w:t>. The Board notes that these improvements are system wide requirements, and are being monitored actively through the Board and SIB.</w:t>
            </w:r>
          </w:p>
          <w:p w14:paraId="2FCBB1A4" w14:textId="7887D689" w:rsidR="004B33E9" w:rsidRPr="002E5396" w:rsidRDefault="004B33E9" w:rsidP="00896A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396">
              <w:rPr>
                <w:rFonts w:ascii="Arial" w:hAnsi="Arial" w:cs="Arial"/>
                <w:sz w:val="22"/>
                <w:szCs w:val="22"/>
              </w:rPr>
              <w:t>A reasonable expectation that required resources will be available to deliver designated Commissioner Requested Service – condition CoS7(3)</w:t>
            </w:r>
          </w:p>
          <w:p w14:paraId="0E3E3245" w14:textId="1467AD43" w:rsidR="004B33E9" w:rsidRPr="002E5396" w:rsidRDefault="004B33E9" w:rsidP="00896A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396">
              <w:rPr>
                <w:rFonts w:ascii="Arial" w:hAnsi="Arial" w:cs="Arial"/>
                <w:sz w:val="22"/>
                <w:szCs w:val="22"/>
              </w:rPr>
              <w:t xml:space="preserve">Complied with the required </w:t>
            </w:r>
            <w:r w:rsidR="003F3B41" w:rsidRPr="002E5396">
              <w:rPr>
                <w:rFonts w:ascii="Arial" w:hAnsi="Arial" w:cs="Arial"/>
                <w:sz w:val="22"/>
                <w:szCs w:val="22"/>
              </w:rPr>
              <w:t>governance</w:t>
            </w:r>
            <w:r w:rsidRPr="002E5396">
              <w:rPr>
                <w:rFonts w:ascii="Arial" w:hAnsi="Arial" w:cs="Arial"/>
                <w:sz w:val="22"/>
                <w:szCs w:val="22"/>
              </w:rPr>
              <w:t xml:space="preserve"> arrangements (condition FT4(8))</w:t>
            </w:r>
          </w:p>
          <w:p w14:paraId="6983DE74" w14:textId="00BA7F27" w:rsidR="004B33E9" w:rsidRPr="002E5396" w:rsidRDefault="004B33E9" w:rsidP="00896A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396">
              <w:rPr>
                <w:rFonts w:ascii="Arial" w:hAnsi="Arial" w:cs="Arial"/>
                <w:sz w:val="22"/>
                <w:szCs w:val="22"/>
              </w:rPr>
              <w:t xml:space="preserve">Ensured that necessary training has been provided to </w:t>
            </w:r>
            <w:r w:rsidR="003F3B41" w:rsidRPr="002E5396">
              <w:rPr>
                <w:rFonts w:ascii="Arial" w:hAnsi="Arial" w:cs="Arial"/>
                <w:sz w:val="22"/>
                <w:szCs w:val="22"/>
              </w:rPr>
              <w:t>governors</w:t>
            </w:r>
            <w:r w:rsidRPr="002E5396">
              <w:rPr>
                <w:rFonts w:ascii="Arial" w:hAnsi="Arial" w:cs="Arial"/>
                <w:sz w:val="22"/>
                <w:szCs w:val="22"/>
              </w:rPr>
              <w:t xml:space="preserve"> to ensure that they are equipped with the skills and </w:t>
            </w:r>
            <w:r w:rsidR="003F3B41" w:rsidRPr="002E5396">
              <w:rPr>
                <w:rFonts w:ascii="Arial" w:hAnsi="Arial" w:cs="Arial"/>
                <w:sz w:val="22"/>
                <w:szCs w:val="22"/>
              </w:rPr>
              <w:t>knowledge</w:t>
            </w:r>
            <w:r w:rsidRPr="002E5396">
              <w:rPr>
                <w:rFonts w:ascii="Arial" w:hAnsi="Arial" w:cs="Arial"/>
                <w:sz w:val="22"/>
                <w:szCs w:val="22"/>
              </w:rPr>
              <w:t xml:space="preserve"> they need to undertake their role. </w:t>
            </w:r>
          </w:p>
          <w:p w14:paraId="73F0EA3F" w14:textId="77777777" w:rsidR="004B33E9" w:rsidRPr="002E5396" w:rsidRDefault="004B33E9" w:rsidP="00896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0ED31E" w14:textId="77777777" w:rsidR="003018CF" w:rsidRPr="002E5396" w:rsidRDefault="003018CF" w:rsidP="00896A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35D" w14:paraId="7739259B" w14:textId="77777777" w:rsidTr="003018CF">
        <w:tc>
          <w:tcPr>
            <w:tcW w:w="9010" w:type="dxa"/>
            <w:shd w:val="clear" w:color="auto" w:fill="BFBFBF" w:themeFill="background1" w:themeFillShade="BF"/>
          </w:tcPr>
          <w:p w14:paraId="19E8134D" w14:textId="737FF8E4" w:rsidR="003018CF" w:rsidRPr="00CC3308" w:rsidRDefault="00CC3308" w:rsidP="005E535D">
            <w:pPr>
              <w:rPr>
                <w:rFonts w:ascii="Arial" w:hAnsi="Arial" w:cs="Arial"/>
                <w:b/>
                <w:bCs/>
              </w:rPr>
            </w:pPr>
            <w:r w:rsidRPr="00CC3308">
              <w:rPr>
                <w:rFonts w:ascii="Arial" w:hAnsi="Arial" w:cs="Arial"/>
                <w:b/>
                <w:bCs/>
              </w:rPr>
              <w:t>Approvals</w:t>
            </w:r>
          </w:p>
        </w:tc>
      </w:tr>
      <w:tr w:rsidR="005E535D" w14:paraId="51085C9F" w14:textId="77777777" w:rsidTr="003018CF">
        <w:tc>
          <w:tcPr>
            <w:tcW w:w="9010" w:type="dxa"/>
          </w:tcPr>
          <w:p w14:paraId="6664AF71" w14:textId="77777777" w:rsidR="005E535D" w:rsidRDefault="005E535D" w:rsidP="005E535D">
            <w:pPr>
              <w:rPr>
                <w:rFonts w:ascii="Arial" w:hAnsi="Arial" w:cs="Arial"/>
              </w:rPr>
            </w:pPr>
          </w:p>
          <w:p w14:paraId="3FAB7B83" w14:textId="248DCB18" w:rsidR="003018CF" w:rsidRDefault="00CC3308" w:rsidP="002E539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 Audit Committee approved and recommended these to the Board on 7</w:t>
            </w:r>
            <w:r w:rsidRPr="00CC3308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June 2021. </w:t>
            </w:r>
          </w:p>
          <w:p w14:paraId="6EB51023" w14:textId="33C24096" w:rsidR="00CC3308" w:rsidRPr="002E5396" w:rsidRDefault="00CC3308" w:rsidP="002E5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approved these declarations on 9</w:t>
            </w:r>
            <w:r w:rsidRPr="00CC330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2021.</w:t>
            </w:r>
          </w:p>
          <w:p w14:paraId="30AE14ED" w14:textId="77777777" w:rsidR="003018CF" w:rsidRPr="002E5396" w:rsidRDefault="003018CF" w:rsidP="002E53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6594C0" w14:textId="77777777" w:rsidR="003018CF" w:rsidRPr="005E535D" w:rsidRDefault="003018CF" w:rsidP="005E535D">
            <w:pPr>
              <w:rPr>
                <w:rFonts w:ascii="Arial" w:hAnsi="Arial" w:cs="Arial"/>
              </w:rPr>
            </w:pPr>
          </w:p>
        </w:tc>
      </w:tr>
    </w:tbl>
    <w:p w14:paraId="48D6158E" w14:textId="1135F29C" w:rsidR="00B32F88" w:rsidRPr="00B32F88" w:rsidRDefault="00B32F88" w:rsidP="00B32F88">
      <w:pPr>
        <w:rPr>
          <w:rFonts w:ascii="Arial" w:hAnsi="Arial" w:cs="Arial"/>
        </w:rPr>
      </w:pPr>
    </w:p>
    <w:sectPr w:rsidR="00B32F88" w:rsidRPr="00B32F88" w:rsidSect="005C127A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1B95" w14:textId="77777777" w:rsidR="00170AAF" w:rsidRDefault="00170AAF" w:rsidP="00B32F88">
      <w:r>
        <w:separator/>
      </w:r>
    </w:p>
  </w:endnote>
  <w:endnote w:type="continuationSeparator" w:id="0">
    <w:p w14:paraId="69274AAA" w14:textId="77777777" w:rsidR="00170AAF" w:rsidRDefault="00170AAF" w:rsidP="00B3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51D9" w14:textId="77777777" w:rsidR="00170AAF" w:rsidRDefault="00170AAF">
    <w:pPr>
      <w:pStyle w:val="Footer"/>
    </w:pPr>
    <w:r>
      <w:rPr>
        <w:noProof/>
        <w:lang w:eastAsia="en-GB"/>
      </w:rPr>
      <w:drawing>
        <wp:inline distT="0" distB="0" distL="0" distR="0" wp14:anchorId="054544E0" wp14:editId="4D6FF9AD">
          <wp:extent cx="5727700" cy="41809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418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6146" w14:textId="77777777" w:rsidR="00170AAF" w:rsidRDefault="00170AAF" w:rsidP="00B32F88">
      <w:r>
        <w:separator/>
      </w:r>
    </w:p>
  </w:footnote>
  <w:footnote w:type="continuationSeparator" w:id="0">
    <w:p w14:paraId="1C324B0F" w14:textId="77777777" w:rsidR="00170AAF" w:rsidRDefault="00170AAF" w:rsidP="00B3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395"/>
    <w:multiLevelType w:val="hybridMultilevel"/>
    <w:tmpl w:val="07A20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463"/>
    <w:multiLevelType w:val="hybridMultilevel"/>
    <w:tmpl w:val="829C3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064CB"/>
    <w:multiLevelType w:val="hybridMultilevel"/>
    <w:tmpl w:val="0844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26525"/>
    <w:multiLevelType w:val="hybridMultilevel"/>
    <w:tmpl w:val="0784B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2AFC"/>
    <w:multiLevelType w:val="hybridMultilevel"/>
    <w:tmpl w:val="8BE69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47CAC"/>
    <w:multiLevelType w:val="hybridMultilevel"/>
    <w:tmpl w:val="3B3E2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18A0"/>
    <w:multiLevelType w:val="hybridMultilevel"/>
    <w:tmpl w:val="66F41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D1DE2"/>
    <w:multiLevelType w:val="hybridMultilevel"/>
    <w:tmpl w:val="45F8B9B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8A1935"/>
    <w:multiLevelType w:val="hybridMultilevel"/>
    <w:tmpl w:val="ABB26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23D5B"/>
    <w:multiLevelType w:val="hybridMultilevel"/>
    <w:tmpl w:val="1492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8859">
    <w:abstractNumId w:val="0"/>
  </w:num>
  <w:num w:numId="2" w16cid:durableId="495922213">
    <w:abstractNumId w:val="6"/>
  </w:num>
  <w:num w:numId="3" w16cid:durableId="1351682970">
    <w:abstractNumId w:val="5"/>
  </w:num>
  <w:num w:numId="4" w16cid:durableId="1769156228">
    <w:abstractNumId w:val="8"/>
  </w:num>
  <w:num w:numId="5" w16cid:durableId="451366544">
    <w:abstractNumId w:val="1"/>
  </w:num>
  <w:num w:numId="6" w16cid:durableId="561910154">
    <w:abstractNumId w:val="7"/>
  </w:num>
  <w:num w:numId="7" w16cid:durableId="952908583">
    <w:abstractNumId w:val="3"/>
  </w:num>
  <w:num w:numId="8" w16cid:durableId="1347168601">
    <w:abstractNumId w:val="4"/>
  </w:num>
  <w:num w:numId="9" w16cid:durableId="1174953266">
    <w:abstractNumId w:val="2"/>
  </w:num>
  <w:num w:numId="10" w16cid:durableId="16452350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88"/>
    <w:rsid w:val="00046616"/>
    <w:rsid w:val="000879D2"/>
    <w:rsid w:val="000D2234"/>
    <w:rsid w:val="001152BB"/>
    <w:rsid w:val="0011555E"/>
    <w:rsid w:val="00115A2E"/>
    <w:rsid w:val="00167F6E"/>
    <w:rsid w:val="00170AAF"/>
    <w:rsid w:val="00193AFF"/>
    <w:rsid w:val="001E456E"/>
    <w:rsid w:val="001F0EFF"/>
    <w:rsid w:val="00213D2F"/>
    <w:rsid w:val="00216E4A"/>
    <w:rsid w:val="00223DD3"/>
    <w:rsid w:val="00252EDA"/>
    <w:rsid w:val="002E5396"/>
    <w:rsid w:val="003007E7"/>
    <w:rsid w:val="003018CF"/>
    <w:rsid w:val="003524E7"/>
    <w:rsid w:val="003941E1"/>
    <w:rsid w:val="003F3B41"/>
    <w:rsid w:val="00424567"/>
    <w:rsid w:val="00494B61"/>
    <w:rsid w:val="004B33E9"/>
    <w:rsid w:val="00535162"/>
    <w:rsid w:val="005C127A"/>
    <w:rsid w:val="005E160F"/>
    <w:rsid w:val="005E535D"/>
    <w:rsid w:val="005E757B"/>
    <w:rsid w:val="005F790D"/>
    <w:rsid w:val="00646FF7"/>
    <w:rsid w:val="00674AD9"/>
    <w:rsid w:val="00684C59"/>
    <w:rsid w:val="00694E97"/>
    <w:rsid w:val="006B40BF"/>
    <w:rsid w:val="006E2192"/>
    <w:rsid w:val="00726E52"/>
    <w:rsid w:val="007442CC"/>
    <w:rsid w:val="007B1164"/>
    <w:rsid w:val="007C2C77"/>
    <w:rsid w:val="0080032C"/>
    <w:rsid w:val="00826074"/>
    <w:rsid w:val="0088659A"/>
    <w:rsid w:val="008871CF"/>
    <w:rsid w:val="00896A1A"/>
    <w:rsid w:val="008A4D03"/>
    <w:rsid w:val="008E47F5"/>
    <w:rsid w:val="009028BF"/>
    <w:rsid w:val="0094498B"/>
    <w:rsid w:val="00967ACF"/>
    <w:rsid w:val="00A31BD2"/>
    <w:rsid w:val="00A32A29"/>
    <w:rsid w:val="00A76B6C"/>
    <w:rsid w:val="00A8455F"/>
    <w:rsid w:val="00AA0386"/>
    <w:rsid w:val="00AD0A8D"/>
    <w:rsid w:val="00B065BE"/>
    <w:rsid w:val="00B32F88"/>
    <w:rsid w:val="00B4019C"/>
    <w:rsid w:val="00B445B5"/>
    <w:rsid w:val="00B50FE5"/>
    <w:rsid w:val="00B908EF"/>
    <w:rsid w:val="00BA4050"/>
    <w:rsid w:val="00BF5915"/>
    <w:rsid w:val="00C0112B"/>
    <w:rsid w:val="00C06E58"/>
    <w:rsid w:val="00C657EA"/>
    <w:rsid w:val="00CC3308"/>
    <w:rsid w:val="00D33BEB"/>
    <w:rsid w:val="00D6288E"/>
    <w:rsid w:val="00D65ADA"/>
    <w:rsid w:val="00D72513"/>
    <w:rsid w:val="00DC0F84"/>
    <w:rsid w:val="00DC212C"/>
    <w:rsid w:val="00E5327B"/>
    <w:rsid w:val="00EA7EBC"/>
    <w:rsid w:val="00EC3AFC"/>
    <w:rsid w:val="00ED22BD"/>
    <w:rsid w:val="00F5676F"/>
    <w:rsid w:val="00F72E9D"/>
    <w:rsid w:val="00F80117"/>
    <w:rsid w:val="00F8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8B1E"/>
  <w15:docId w15:val="{9EA81B10-13E7-44EC-B360-F76C0D03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F88"/>
  </w:style>
  <w:style w:type="paragraph" w:styleId="Footer">
    <w:name w:val="footer"/>
    <w:basedOn w:val="Normal"/>
    <w:link w:val="FooterChar"/>
    <w:uiPriority w:val="99"/>
    <w:unhideWhenUsed/>
    <w:rsid w:val="00B32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F88"/>
  </w:style>
  <w:style w:type="table" w:styleId="TableGrid">
    <w:name w:val="Table Grid"/>
    <w:basedOn w:val="TableNormal"/>
    <w:uiPriority w:val="39"/>
    <w:rsid w:val="00B3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47F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University Teaching Hospital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Hall</dc:creator>
  <cp:lastModifiedBy>HERBERT, Catherine (WIRRAL UNIVERSITY TEACHING HOSPITAL NHS FOUNDATION TRUST)</cp:lastModifiedBy>
  <cp:revision>2</cp:revision>
  <dcterms:created xsi:type="dcterms:W3CDTF">2023-06-30T07:47:00Z</dcterms:created>
  <dcterms:modified xsi:type="dcterms:W3CDTF">2023-06-30T07:47:00Z</dcterms:modified>
</cp:coreProperties>
</file>